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4225"/>
        <w:gridCol w:w="4955"/>
      </w:tblGrid>
      <w:tr w:rsidR="002D4729" w14:paraId="0781C181" w14:textId="77777777" w:rsidTr="00F95E20">
        <w:trPr>
          <w:trHeight w:val="81"/>
        </w:trPr>
        <w:tc>
          <w:tcPr>
            <w:tcW w:w="9720" w:type="dxa"/>
            <w:gridSpan w:val="3"/>
          </w:tcPr>
          <w:p w14:paraId="391220D1" w14:textId="77777777" w:rsidR="002D4729" w:rsidRPr="002D4729" w:rsidRDefault="002D4729">
            <w:pPr>
              <w:rPr>
                <w:sz w:val="16"/>
                <w:szCs w:val="16"/>
              </w:rPr>
            </w:pPr>
          </w:p>
        </w:tc>
      </w:tr>
      <w:tr w:rsidR="00F206C4" w14:paraId="25CE682F" w14:textId="77777777" w:rsidTr="00F206C4">
        <w:trPr>
          <w:trHeight w:val="972"/>
        </w:trPr>
        <w:tc>
          <w:tcPr>
            <w:tcW w:w="9720" w:type="dxa"/>
            <w:gridSpan w:val="3"/>
            <w:vAlign w:val="center"/>
          </w:tcPr>
          <w:p w14:paraId="3D3E9B08" w14:textId="2DE8865C" w:rsidR="00F206C4" w:rsidRDefault="00F206C4" w:rsidP="00F206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BD186D" wp14:editId="5E804A2A">
                  <wp:extent cx="2730500" cy="467360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533" r="-3448"/>
                          <a:stretch/>
                        </pic:blipFill>
                        <pic:spPr bwMode="auto">
                          <a:xfrm>
                            <a:off x="0" y="0"/>
                            <a:ext cx="2733176" cy="4678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4729" w14:paraId="00CB4012" w14:textId="77777777" w:rsidTr="00F95E20">
        <w:tc>
          <w:tcPr>
            <w:tcW w:w="9720" w:type="dxa"/>
            <w:gridSpan w:val="3"/>
          </w:tcPr>
          <w:p w14:paraId="0EC042B1" w14:textId="1183B555" w:rsidR="002D4729" w:rsidRPr="002D4729" w:rsidRDefault="002D4729">
            <w:pPr>
              <w:rPr>
                <w:sz w:val="16"/>
                <w:szCs w:val="16"/>
              </w:rPr>
            </w:pPr>
          </w:p>
        </w:tc>
      </w:tr>
      <w:tr w:rsidR="002D4729" w14:paraId="3881233E" w14:textId="77777777" w:rsidTr="00F95E20">
        <w:tc>
          <w:tcPr>
            <w:tcW w:w="9720" w:type="dxa"/>
            <w:gridSpan w:val="3"/>
            <w:vAlign w:val="center"/>
          </w:tcPr>
          <w:p w14:paraId="242EF531" w14:textId="54888254" w:rsidR="002D4729" w:rsidRPr="009E0A32" w:rsidRDefault="003D5884" w:rsidP="002D4729">
            <w:pPr>
              <w:jc w:val="center"/>
              <w:rPr>
                <w:b/>
                <w:bCs/>
                <w:color w:val="0091DA"/>
                <w:sz w:val="48"/>
                <w:szCs w:val="48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13FCA856" wp14:editId="5ED29A38">
                  <wp:extent cx="5943600" cy="2971800"/>
                  <wp:effectExtent l="0" t="0" r="0" b="0"/>
                  <wp:docPr id="4" name="Picture 4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logo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297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4729" w14:paraId="67AE6711" w14:textId="77777777" w:rsidTr="00F95E20">
        <w:tc>
          <w:tcPr>
            <w:tcW w:w="9720" w:type="dxa"/>
            <w:gridSpan w:val="3"/>
          </w:tcPr>
          <w:p w14:paraId="0C7E6326" w14:textId="77777777" w:rsidR="002D4729" w:rsidRPr="002D4729" w:rsidRDefault="002D4729">
            <w:pPr>
              <w:rPr>
                <w:sz w:val="16"/>
                <w:szCs w:val="16"/>
              </w:rPr>
            </w:pPr>
          </w:p>
        </w:tc>
      </w:tr>
      <w:tr w:rsidR="002D4729" w14:paraId="5EF26634" w14:textId="77777777" w:rsidTr="00F95E20">
        <w:tc>
          <w:tcPr>
            <w:tcW w:w="9720" w:type="dxa"/>
            <w:gridSpan w:val="3"/>
            <w:vAlign w:val="center"/>
          </w:tcPr>
          <w:p w14:paraId="412FB9A9" w14:textId="025F20A9" w:rsidR="002D4729" w:rsidRDefault="002D4729" w:rsidP="002D4729">
            <w:r>
              <w:t xml:space="preserve">Tax </w:t>
            </w:r>
            <w:r w:rsidR="008B00F2">
              <w:t>s</w:t>
            </w:r>
            <w:r>
              <w:t xml:space="preserve">eason is generally greeted with excitement for a </w:t>
            </w:r>
            <w:r w:rsidR="00584994">
              <w:t xml:space="preserve">refund </w:t>
            </w:r>
            <w:r>
              <w:rPr>
                <w:i/>
                <w:iCs/>
              </w:rPr>
              <w:t>or</w:t>
            </w:r>
            <w:r>
              <w:t xml:space="preserve"> dread for paying out.</w:t>
            </w:r>
            <w:r w:rsidR="00F95E20">
              <w:t xml:space="preserve"> </w:t>
            </w:r>
            <w:r w:rsidR="001F16D1">
              <w:t xml:space="preserve">Whichever way you’re feeling, here are some tips to </w:t>
            </w:r>
            <w:r>
              <w:t>make this tax season easier.</w:t>
            </w:r>
          </w:p>
        </w:tc>
      </w:tr>
      <w:tr w:rsidR="002D4729" w14:paraId="03E8A186" w14:textId="77777777" w:rsidTr="009B4269">
        <w:trPr>
          <w:trHeight w:val="432"/>
        </w:trPr>
        <w:tc>
          <w:tcPr>
            <w:tcW w:w="540" w:type="dxa"/>
            <w:vAlign w:val="center"/>
          </w:tcPr>
          <w:p w14:paraId="1447C29E" w14:textId="59E265E8" w:rsidR="002D4729" w:rsidRDefault="002D4729" w:rsidP="00F95E20">
            <w:r w:rsidRPr="00F95E20">
              <w:rPr>
                <w:b/>
                <w:bCs/>
                <w:color w:val="003562"/>
                <w:sz w:val="28"/>
                <w:szCs w:val="28"/>
              </w:rPr>
              <w:t>1</w:t>
            </w:r>
          </w:p>
        </w:tc>
        <w:tc>
          <w:tcPr>
            <w:tcW w:w="9180" w:type="dxa"/>
            <w:gridSpan w:val="2"/>
            <w:vAlign w:val="center"/>
          </w:tcPr>
          <w:p w14:paraId="2001E631" w14:textId="0BA5D467" w:rsidR="002D4729" w:rsidRPr="00F95E20" w:rsidRDefault="002D4729" w:rsidP="002D4729">
            <w:pPr>
              <w:rPr>
                <w:sz w:val="28"/>
                <w:szCs w:val="28"/>
              </w:rPr>
            </w:pPr>
            <w:r w:rsidRPr="00F95E20">
              <w:rPr>
                <w:b/>
                <w:bCs/>
                <w:color w:val="003562"/>
                <w:sz w:val="28"/>
                <w:szCs w:val="28"/>
              </w:rPr>
              <w:t xml:space="preserve">Mark </w:t>
            </w:r>
            <w:r w:rsidR="00CE4A39">
              <w:rPr>
                <w:b/>
                <w:bCs/>
                <w:color w:val="003562"/>
                <w:sz w:val="28"/>
                <w:szCs w:val="28"/>
              </w:rPr>
              <w:t>April 18</w:t>
            </w:r>
            <w:r w:rsidRPr="00F95E20">
              <w:rPr>
                <w:b/>
                <w:bCs/>
                <w:color w:val="003562"/>
                <w:sz w:val="28"/>
                <w:szCs w:val="28"/>
              </w:rPr>
              <w:t xml:space="preserve">, </w:t>
            </w:r>
            <w:proofErr w:type="gramStart"/>
            <w:r w:rsidRPr="00F95E20">
              <w:rPr>
                <w:b/>
                <w:bCs/>
                <w:color w:val="003562"/>
                <w:sz w:val="28"/>
                <w:szCs w:val="28"/>
              </w:rPr>
              <w:t>202</w:t>
            </w:r>
            <w:r w:rsidR="00CE4A39">
              <w:rPr>
                <w:b/>
                <w:bCs/>
                <w:color w:val="003562"/>
                <w:sz w:val="28"/>
                <w:szCs w:val="28"/>
              </w:rPr>
              <w:t>2</w:t>
            </w:r>
            <w:proofErr w:type="gramEnd"/>
            <w:r w:rsidRPr="00F95E20">
              <w:rPr>
                <w:sz w:val="28"/>
                <w:szCs w:val="28"/>
              </w:rPr>
              <w:t xml:space="preserve"> on your calendar</w:t>
            </w:r>
            <w:r w:rsidR="00C440DD">
              <w:rPr>
                <w:sz w:val="28"/>
                <w:szCs w:val="28"/>
              </w:rPr>
              <w:t>—</w:t>
            </w:r>
            <w:r w:rsidRPr="00F95E20">
              <w:rPr>
                <w:sz w:val="28"/>
                <w:szCs w:val="28"/>
              </w:rPr>
              <w:t>that’s your deadline to file!</w:t>
            </w:r>
            <w:r w:rsidR="00097156">
              <w:rPr>
                <w:sz w:val="28"/>
                <w:szCs w:val="28"/>
              </w:rPr>
              <w:t xml:space="preserve"> </w:t>
            </w:r>
            <w:r w:rsidR="008F5453">
              <w:rPr>
                <w:sz w:val="28"/>
                <w:szCs w:val="28"/>
              </w:rPr>
              <w:t xml:space="preserve">You can check for deadline extensions on the </w:t>
            </w:r>
            <w:hyperlink r:id="rId10" w:history="1">
              <w:r w:rsidR="008F5453" w:rsidRPr="008F5453">
                <w:rPr>
                  <w:rStyle w:val="Hyperlink"/>
                  <w:sz w:val="28"/>
                  <w:szCs w:val="28"/>
                </w:rPr>
                <w:t>official IRS website</w:t>
              </w:r>
            </w:hyperlink>
            <w:r w:rsidR="008F5453">
              <w:rPr>
                <w:sz w:val="28"/>
                <w:szCs w:val="28"/>
              </w:rPr>
              <w:t>.</w:t>
            </w:r>
          </w:p>
        </w:tc>
      </w:tr>
      <w:tr w:rsidR="002D4729" w14:paraId="35C7284B" w14:textId="77777777" w:rsidTr="009B4269">
        <w:trPr>
          <w:trHeight w:val="432"/>
        </w:trPr>
        <w:tc>
          <w:tcPr>
            <w:tcW w:w="540" w:type="dxa"/>
            <w:vAlign w:val="center"/>
          </w:tcPr>
          <w:p w14:paraId="0E893C3E" w14:textId="0DF65E70" w:rsidR="002D4729" w:rsidRDefault="002D4729" w:rsidP="00F95E20">
            <w:r w:rsidRPr="00F95E20">
              <w:rPr>
                <w:b/>
                <w:bCs/>
                <w:color w:val="003562"/>
                <w:sz w:val="28"/>
                <w:szCs w:val="28"/>
              </w:rPr>
              <w:t>2</w:t>
            </w:r>
          </w:p>
        </w:tc>
        <w:tc>
          <w:tcPr>
            <w:tcW w:w="9180" w:type="dxa"/>
            <w:gridSpan w:val="2"/>
            <w:vAlign w:val="center"/>
          </w:tcPr>
          <w:p w14:paraId="41D8D098" w14:textId="4EE5773E" w:rsidR="002D4729" w:rsidRPr="00F95E20" w:rsidRDefault="002D4729" w:rsidP="002D4729">
            <w:pPr>
              <w:rPr>
                <w:b/>
                <w:bCs/>
                <w:color w:val="003562"/>
                <w:sz w:val="28"/>
                <w:szCs w:val="28"/>
              </w:rPr>
            </w:pPr>
            <w:r w:rsidRPr="00F95E20">
              <w:rPr>
                <w:b/>
                <w:bCs/>
                <w:color w:val="003562"/>
                <w:sz w:val="28"/>
                <w:szCs w:val="28"/>
              </w:rPr>
              <w:t>Gather Documents</w:t>
            </w:r>
          </w:p>
        </w:tc>
      </w:tr>
      <w:tr w:rsidR="002D4729" w14:paraId="22E1412C" w14:textId="77777777" w:rsidTr="009B4269">
        <w:trPr>
          <w:trHeight w:val="432"/>
        </w:trPr>
        <w:tc>
          <w:tcPr>
            <w:tcW w:w="540" w:type="dxa"/>
          </w:tcPr>
          <w:p w14:paraId="34618D41" w14:textId="77777777" w:rsidR="002D4729" w:rsidRDefault="002D4729"/>
        </w:tc>
        <w:tc>
          <w:tcPr>
            <w:tcW w:w="9180" w:type="dxa"/>
            <w:gridSpan w:val="2"/>
            <w:vAlign w:val="center"/>
          </w:tcPr>
          <w:p w14:paraId="1D74BF72" w14:textId="2EB5BF0F" w:rsidR="002D4729" w:rsidRPr="002D4729" w:rsidRDefault="002D4729" w:rsidP="002D4729">
            <w:pPr>
              <w:pStyle w:val="ListParagraph"/>
              <w:numPr>
                <w:ilvl w:val="0"/>
                <w:numId w:val="4"/>
              </w:numPr>
              <w:ind w:left="605"/>
            </w:pPr>
            <w:r w:rsidRPr="002D4729">
              <w:t xml:space="preserve">Use </w:t>
            </w:r>
            <w:r w:rsidRPr="009E5993">
              <w:t xml:space="preserve">this </w:t>
            </w:r>
            <w:hyperlink r:id="rId11" w:history="1">
              <w:r w:rsidR="00B541C8">
                <w:rPr>
                  <w:rStyle w:val="Hyperlink"/>
                </w:rPr>
                <w:t>Tax Prep Checklist</w:t>
              </w:r>
            </w:hyperlink>
            <w:r w:rsidRPr="009E5993">
              <w:t xml:space="preserve"> to</w:t>
            </w:r>
            <w:r w:rsidRPr="002D4729">
              <w:t xml:space="preserve"> make sure you have everything you need!</w:t>
            </w:r>
          </w:p>
        </w:tc>
      </w:tr>
      <w:tr w:rsidR="002D4729" w14:paraId="4C3C3628" w14:textId="77777777" w:rsidTr="009B4269">
        <w:trPr>
          <w:trHeight w:val="432"/>
        </w:trPr>
        <w:tc>
          <w:tcPr>
            <w:tcW w:w="540" w:type="dxa"/>
            <w:vAlign w:val="center"/>
          </w:tcPr>
          <w:p w14:paraId="7F96481A" w14:textId="6E44BF6B" w:rsidR="002D4729" w:rsidRDefault="002D4729" w:rsidP="00F95E20">
            <w:r w:rsidRPr="00F95E20">
              <w:rPr>
                <w:b/>
                <w:bCs/>
                <w:color w:val="003562"/>
                <w:sz w:val="28"/>
                <w:szCs w:val="28"/>
              </w:rPr>
              <w:t>3</w:t>
            </w:r>
          </w:p>
        </w:tc>
        <w:tc>
          <w:tcPr>
            <w:tcW w:w="9180" w:type="dxa"/>
            <w:gridSpan w:val="2"/>
            <w:vAlign w:val="center"/>
          </w:tcPr>
          <w:p w14:paraId="435919B6" w14:textId="41D458EA" w:rsidR="002D4729" w:rsidRPr="00F95E20" w:rsidRDefault="002D4729" w:rsidP="002D4729">
            <w:pPr>
              <w:rPr>
                <w:b/>
                <w:bCs/>
                <w:color w:val="003562"/>
                <w:sz w:val="28"/>
                <w:szCs w:val="28"/>
              </w:rPr>
            </w:pPr>
            <w:r w:rsidRPr="00F95E20">
              <w:rPr>
                <w:b/>
                <w:bCs/>
                <w:color w:val="003562"/>
                <w:sz w:val="28"/>
                <w:szCs w:val="28"/>
              </w:rPr>
              <w:t>Organize Papers</w:t>
            </w:r>
          </w:p>
        </w:tc>
      </w:tr>
      <w:tr w:rsidR="002D4729" w14:paraId="61E71653" w14:textId="77777777" w:rsidTr="009B4269">
        <w:trPr>
          <w:trHeight w:val="1359"/>
        </w:trPr>
        <w:tc>
          <w:tcPr>
            <w:tcW w:w="540" w:type="dxa"/>
          </w:tcPr>
          <w:p w14:paraId="336DAFA1" w14:textId="77777777" w:rsidR="002D4729" w:rsidRDefault="002D4729"/>
        </w:tc>
        <w:tc>
          <w:tcPr>
            <w:tcW w:w="9180" w:type="dxa"/>
            <w:gridSpan w:val="2"/>
            <w:vAlign w:val="center"/>
          </w:tcPr>
          <w:p w14:paraId="11F793A0" w14:textId="3989779A" w:rsidR="002D4729" w:rsidRDefault="002D4729" w:rsidP="002D4729">
            <w:pPr>
              <w:pStyle w:val="ListParagraph"/>
              <w:numPr>
                <w:ilvl w:val="1"/>
                <w:numId w:val="5"/>
              </w:numPr>
              <w:ind w:left="605"/>
            </w:pPr>
            <w:r w:rsidRPr="002D4729">
              <w:t>This doesn’t have to be rocket science</w:t>
            </w:r>
            <w:r w:rsidR="00C440DD">
              <w:t>.</w:t>
            </w:r>
            <w:r w:rsidRPr="002D4729">
              <w:t xml:space="preserve"> </w:t>
            </w:r>
            <w:r w:rsidR="00C440DD">
              <w:t>I</w:t>
            </w:r>
            <w:r w:rsidRPr="002D4729">
              <w:t xml:space="preserve">t can be as easy as grabbing a </w:t>
            </w:r>
            <w:r w:rsidR="00C440DD">
              <w:t>b</w:t>
            </w:r>
            <w:r w:rsidRPr="002D4729">
              <w:t xml:space="preserve">inder clip and some </w:t>
            </w:r>
            <w:proofErr w:type="gramStart"/>
            <w:r w:rsidR="00C440DD">
              <w:t>P</w:t>
            </w:r>
            <w:r w:rsidRPr="002D4729">
              <w:t>ost-</w:t>
            </w:r>
            <w:proofErr w:type="spellStart"/>
            <w:r w:rsidRPr="002D4729">
              <w:t>its</w:t>
            </w:r>
            <w:proofErr w:type="spellEnd"/>
            <w:proofErr w:type="gramEnd"/>
            <w:r w:rsidRPr="002D4729">
              <w:t xml:space="preserve"> to label your stack of papers so you can easily grab out what you need. </w:t>
            </w:r>
            <w:r w:rsidR="00C440DD">
              <w:t>But</w:t>
            </w:r>
            <w:r w:rsidRPr="002D4729">
              <w:t xml:space="preserve"> if you’re a master organizer</w:t>
            </w:r>
            <w:r w:rsidR="00C440DD">
              <w:t>,</w:t>
            </w:r>
            <w:r w:rsidRPr="002D4729">
              <w:t xml:space="preserve"> you can create your own filing system at a reasonable price by grabbing an accordion folder. </w:t>
            </w:r>
          </w:p>
        </w:tc>
      </w:tr>
      <w:tr w:rsidR="002D4729" w14:paraId="4F47226C" w14:textId="77777777" w:rsidTr="009B4269">
        <w:trPr>
          <w:trHeight w:val="432"/>
        </w:trPr>
        <w:tc>
          <w:tcPr>
            <w:tcW w:w="540" w:type="dxa"/>
            <w:vAlign w:val="center"/>
          </w:tcPr>
          <w:p w14:paraId="46922746" w14:textId="3B7C1C58" w:rsidR="002D4729" w:rsidRDefault="002D4729" w:rsidP="00F95E20">
            <w:r w:rsidRPr="00F95E20">
              <w:rPr>
                <w:b/>
                <w:bCs/>
                <w:color w:val="003562"/>
                <w:sz w:val="28"/>
                <w:szCs w:val="28"/>
              </w:rPr>
              <w:t>4</w:t>
            </w:r>
          </w:p>
        </w:tc>
        <w:tc>
          <w:tcPr>
            <w:tcW w:w="9180" w:type="dxa"/>
            <w:gridSpan w:val="2"/>
            <w:vAlign w:val="center"/>
          </w:tcPr>
          <w:p w14:paraId="6FF96FE9" w14:textId="235831D7" w:rsidR="002D4729" w:rsidRPr="00F95E20" w:rsidRDefault="002D4729" w:rsidP="002D4729">
            <w:pPr>
              <w:rPr>
                <w:b/>
                <w:bCs/>
                <w:color w:val="003562"/>
                <w:sz w:val="28"/>
                <w:szCs w:val="28"/>
              </w:rPr>
            </w:pPr>
            <w:r w:rsidRPr="00F95E20">
              <w:rPr>
                <w:b/>
                <w:bCs/>
                <w:color w:val="003562"/>
                <w:sz w:val="28"/>
                <w:szCs w:val="28"/>
              </w:rPr>
              <w:t>File Taxes</w:t>
            </w:r>
          </w:p>
        </w:tc>
      </w:tr>
      <w:tr w:rsidR="002D4729" w14:paraId="4471900C" w14:textId="77777777" w:rsidTr="009B4269">
        <w:trPr>
          <w:trHeight w:val="2268"/>
        </w:trPr>
        <w:tc>
          <w:tcPr>
            <w:tcW w:w="540" w:type="dxa"/>
          </w:tcPr>
          <w:p w14:paraId="1FF06092" w14:textId="77777777" w:rsidR="002D4729" w:rsidRDefault="002D4729"/>
        </w:tc>
        <w:tc>
          <w:tcPr>
            <w:tcW w:w="9180" w:type="dxa"/>
            <w:gridSpan w:val="2"/>
            <w:vAlign w:val="center"/>
          </w:tcPr>
          <w:p w14:paraId="63B57C61" w14:textId="50CD00AC" w:rsidR="002D4729" w:rsidRDefault="002D4729" w:rsidP="002D4729">
            <w:pPr>
              <w:pStyle w:val="ListParagraph"/>
              <w:numPr>
                <w:ilvl w:val="1"/>
                <w:numId w:val="6"/>
              </w:numPr>
              <w:ind w:left="605"/>
            </w:pPr>
            <w:r>
              <w:t xml:space="preserve">There </w:t>
            </w:r>
            <w:r w:rsidR="00C440DD">
              <w:t>have</w:t>
            </w:r>
            <w:r>
              <w:t xml:space="preserve"> never been so many options to file your taxes. You can either go through a tax pro, use an online</w:t>
            </w:r>
            <w:r w:rsidR="00F01D53">
              <w:t xml:space="preserve"> </w:t>
            </w:r>
            <w:r>
              <w:t xml:space="preserve">service, or go old-school and use the 1040 supplied by the IRS website. </w:t>
            </w:r>
            <w:proofErr w:type="gramStart"/>
            <w:r>
              <w:t>However</w:t>
            </w:r>
            <w:proofErr w:type="gramEnd"/>
            <w:r>
              <w:t xml:space="preserve"> you file, make sure it’s right. You might save yourself some money up front by filling out your own </w:t>
            </w:r>
            <w:proofErr w:type="gramStart"/>
            <w:r>
              <w:t>1040, but</w:t>
            </w:r>
            <w:proofErr w:type="gramEnd"/>
            <w:r>
              <w:t xml:space="preserve"> </w:t>
            </w:r>
            <w:r w:rsidR="00F01D53">
              <w:t>be</w:t>
            </w:r>
            <w:r>
              <w:t xml:space="preserve"> sure you know what you’re doing or it could cost you in the long</w:t>
            </w:r>
            <w:r w:rsidR="00C440DD">
              <w:t xml:space="preserve"> </w:t>
            </w:r>
            <w:r>
              <w:t>run. Was this a big year of purchasing your first home, lots of medical expenses, or starting a business? Maybe you</w:t>
            </w:r>
            <w:r w:rsidR="0023498A">
              <w:t xml:space="preserve"> should c</w:t>
            </w:r>
            <w:r>
              <w:t xml:space="preserve">onsider using a professional. </w:t>
            </w:r>
          </w:p>
        </w:tc>
      </w:tr>
      <w:tr w:rsidR="002D4729" w14:paraId="0B4D796F" w14:textId="77777777" w:rsidTr="009B4269">
        <w:trPr>
          <w:trHeight w:val="432"/>
        </w:trPr>
        <w:tc>
          <w:tcPr>
            <w:tcW w:w="540" w:type="dxa"/>
            <w:vAlign w:val="center"/>
          </w:tcPr>
          <w:p w14:paraId="73D1E035" w14:textId="1DEEB0D9" w:rsidR="002D4729" w:rsidRDefault="002D4729" w:rsidP="00F95E20">
            <w:r w:rsidRPr="00F95E20">
              <w:rPr>
                <w:b/>
                <w:bCs/>
                <w:color w:val="003562"/>
                <w:sz w:val="28"/>
                <w:szCs w:val="28"/>
              </w:rPr>
              <w:t>5</w:t>
            </w:r>
          </w:p>
        </w:tc>
        <w:tc>
          <w:tcPr>
            <w:tcW w:w="9180" w:type="dxa"/>
            <w:gridSpan w:val="2"/>
            <w:vAlign w:val="center"/>
          </w:tcPr>
          <w:p w14:paraId="55933462" w14:textId="6903290E" w:rsidR="002D4729" w:rsidRPr="00F95E20" w:rsidRDefault="002D4729" w:rsidP="002D4729">
            <w:pPr>
              <w:rPr>
                <w:b/>
                <w:bCs/>
                <w:color w:val="003562"/>
                <w:sz w:val="28"/>
                <w:szCs w:val="28"/>
              </w:rPr>
            </w:pPr>
            <w:proofErr w:type="gramStart"/>
            <w:r w:rsidRPr="00F95E20">
              <w:rPr>
                <w:b/>
                <w:bCs/>
                <w:color w:val="003562"/>
                <w:sz w:val="28"/>
                <w:szCs w:val="28"/>
              </w:rPr>
              <w:t>Make a Plan</w:t>
            </w:r>
            <w:proofErr w:type="gramEnd"/>
          </w:p>
        </w:tc>
      </w:tr>
      <w:tr w:rsidR="002D4729" w14:paraId="042113A7" w14:textId="77777777" w:rsidTr="009B4269">
        <w:trPr>
          <w:trHeight w:val="1359"/>
        </w:trPr>
        <w:tc>
          <w:tcPr>
            <w:tcW w:w="540" w:type="dxa"/>
          </w:tcPr>
          <w:p w14:paraId="1C05C741" w14:textId="77777777" w:rsidR="002D4729" w:rsidRDefault="002D4729"/>
        </w:tc>
        <w:tc>
          <w:tcPr>
            <w:tcW w:w="9180" w:type="dxa"/>
            <w:gridSpan w:val="2"/>
            <w:vAlign w:val="center"/>
          </w:tcPr>
          <w:p w14:paraId="24B9B9FE" w14:textId="7D23AED3" w:rsidR="002D4729" w:rsidRDefault="002D4729" w:rsidP="002D4729">
            <w:pPr>
              <w:pStyle w:val="ListParagraph"/>
              <w:numPr>
                <w:ilvl w:val="1"/>
                <w:numId w:val="7"/>
              </w:numPr>
              <w:ind w:left="605"/>
            </w:pPr>
            <w:r>
              <w:t xml:space="preserve">If you’re feeling the pinch of paying this year, </w:t>
            </w:r>
            <w:r w:rsidR="00386121">
              <w:t>use SmartDollar</w:t>
            </w:r>
            <w:r w:rsidR="001F16D1">
              <w:t xml:space="preserve"> to </w:t>
            </w:r>
            <w:proofErr w:type="gramStart"/>
            <w:r>
              <w:t>plan ahead</w:t>
            </w:r>
            <w:proofErr w:type="gramEnd"/>
            <w:r>
              <w:t xml:space="preserve"> and set aside some extra money each month</w:t>
            </w:r>
            <w:r w:rsidR="00F01D53">
              <w:t xml:space="preserve"> for next year’s taxes</w:t>
            </w:r>
            <w:r>
              <w:t xml:space="preserve">. </w:t>
            </w:r>
            <w:r w:rsidR="00F01D53">
              <w:t>Or m</w:t>
            </w:r>
            <w:r>
              <w:t>aybe you got a nice chunk of change back</w:t>
            </w:r>
            <w:r w:rsidR="00F01D53">
              <w:t>—</w:t>
            </w:r>
            <w:r w:rsidRPr="00455DA5">
              <w:t xml:space="preserve">that can go a long way with working your </w:t>
            </w:r>
            <w:r w:rsidR="00C440DD" w:rsidRPr="00455DA5">
              <w:t>B</w:t>
            </w:r>
            <w:r w:rsidRPr="00455DA5">
              <w:t xml:space="preserve">aby </w:t>
            </w:r>
            <w:r w:rsidR="00C440DD" w:rsidRPr="00455DA5">
              <w:t>S</w:t>
            </w:r>
            <w:r w:rsidRPr="00455DA5">
              <w:t>teps!</w:t>
            </w:r>
            <w:r>
              <w:t xml:space="preserve"> Make sure your tax returns are a part of your budget, either way!</w:t>
            </w:r>
          </w:p>
        </w:tc>
      </w:tr>
      <w:tr w:rsidR="00F95E20" w14:paraId="11FAD2DF" w14:textId="77777777" w:rsidTr="00945DE5">
        <w:tc>
          <w:tcPr>
            <w:tcW w:w="9720" w:type="dxa"/>
            <w:gridSpan w:val="3"/>
          </w:tcPr>
          <w:p w14:paraId="5EA59966" w14:textId="77777777" w:rsidR="00F95E20" w:rsidRPr="00F95E20" w:rsidRDefault="00F95E20" w:rsidP="002D4729">
            <w:pPr>
              <w:rPr>
                <w:sz w:val="16"/>
                <w:szCs w:val="16"/>
              </w:rPr>
            </w:pPr>
          </w:p>
        </w:tc>
      </w:tr>
      <w:tr w:rsidR="002D4729" w14:paraId="13F87655" w14:textId="77777777" w:rsidTr="00F95E20">
        <w:tc>
          <w:tcPr>
            <w:tcW w:w="9720" w:type="dxa"/>
            <w:gridSpan w:val="3"/>
            <w:vAlign w:val="center"/>
          </w:tcPr>
          <w:p w14:paraId="6750707E" w14:textId="303B2736" w:rsidR="002D4729" w:rsidRPr="00F95E20" w:rsidRDefault="002D4729" w:rsidP="002D4729">
            <w:pPr>
              <w:jc w:val="center"/>
              <w:rPr>
                <w:sz w:val="28"/>
                <w:szCs w:val="28"/>
              </w:rPr>
            </w:pPr>
            <w:r w:rsidRPr="00F95E20">
              <w:rPr>
                <w:sz w:val="28"/>
                <w:szCs w:val="28"/>
              </w:rPr>
              <w:t>Looking for more ways to make the most of your money? Check out SmartDollar!</w:t>
            </w:r>
          </w:p>
        </w:tc>
      </w:tr>
      <w:tr w:rsidR="00F95E20" w14:paraId="3254F86E" w14:textId="77777777" w:rsidTr="0040357E">
        <w:tc>
          <w:tcPr>
            <w:tcW w:w="9720" w:type="dxa"/>
            <w:gridSpan w:val="3"/>
          </w:tcPr>
          <w:p w14:paraId="080491AB" w14:textId="77777777" w:rsidR="00F95E20" w:rsidRPr="00F95E20" w:rsidRDefault="00F95E20" w:rsidP="002D4729">
            <w:pPr>
              <w:rPr>
                <w:sz w:val="16"/>
                <w:szCs w:val="16"/>
              </w:rPr>
            </w:pPr>
          </w:p>
        </w:tc>
      </w:tr>
      <w:tr w:rsidR="002D4729" w14:paraId="51AA9E08" w14:textId="77777777" w:rsidTr="00F95E20">
        <w:trPr>
          <w:trHeight w:val="1260"/>
        </w:trPr>
        <w:tc>
          <w:tcPr>
            <w:tcW w:w="4765" w:type="dxa"/>
            <w:gridSpan w:val="2"/>
            <w:vAlign w:val="center"/>
          </w:tcPr>
          <w:p w14:paraId="7CEAA07C" w14:textId="04C2C633" w:rsidR="002D4729" w:rsidRDefault="00F95E20" w:rsidP="002D472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3A4AB9" wp14:editId="016497B9">
                  <wp:extent cx="2822223" cy="825141"/>
                  <wp:effectExtent l="0" t="0" r="0" b="0"/>
                  <wp:docPr id="3" name="Picture 3" descr="A yellow and black sign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yellow and black sign&#10;&#10;Description automatically generated with low confidence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5697" cy="82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5" w:type="dxa"/>
            <w:vAlign w:val="center"/>
          </w:tcPr>
          <w:p w14:paraId="501BB2E3" w14:textId="3502F46C" w:rsidR="002D4729" w:rsidRDefault="00F95E20" w:rsidP="002D472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67AECC" wp14:editId="099152DA">
                  <wp:extent cx="2750538" cy="945886"/>
                  <wp:effectExtent l="0" t="0" r="0" b="0"/>
                  <wp:docPr id="2" name="Picture 2" descr="Graphical user interface&#10;&#10;Description automatically generated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Graphical user interface&#10;&#10;Description automatically generated">
                            <a:hlinkClick r:id="rId13"/>
                          </pic:cNvPr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4855" cy="9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E20" w14:paraId="3141C242" w14:textId="77777777" w:rsidTr="0023380B">
        <w:trPr>
          <w:trHeight w:val="20"/>
        </w:trPr>
        <w:tc>
          <w:tcPr>
            <w:tcW w:w="9720" w:type="dxa"/>
            <w:gridSpan w:val="3"/>
            <w:vAlign w:val="center"/>
          </w:tcPr>
          <w:p w14:paraId="2DA1BFA4" w14:textId="77777777" w:rsidR="00F95E20" w:rsidRPr="00F95E20" w:rsidRDefault="00F95E20" w:rsidP="002D4729">
            <w:pPr>
              <w:jc w:val="center"/>
              <w:rPr>
                <w:sz w:val="16"/>
                <w:szCs w:val="16"/>
              </w:rPr>
            </w:pPr>
          </w:p>
        </w:tc>
      </w:tr>
    </w:tbl>
    <w:p w14:paraId="4F960D97" w14:textId="77777777" w:rsidR="002D4729" w:rsidRDefault="002D4729"/>
    <w:p w14:paraId="330B9FC7" w14:textId="77777777" w:rsidR="002D4729" w:rsidRDefault="002D4729"/>
    <w:p w14:paraId="14FCC6CC" w14:textId="77777777" w:rsidR="002D4729" w:rsidRDefault="002D4729"/>
    <w:p w14:paraId="3CAFC5C5" w14:textId="77777777" w:rsidR="002D4729" w:rsidRDefault="002D4729"/>
    <w:p w14:paraId="3F75AA0B" w14:textId="20093FF7" w:rsidR="00000733" w:rsidRDefault="00000733"/>
    <w:p w14:paraId="473253CE" w14:textId="0F545C9F" w:rsidR="00D9505E" w:rsidRDefault="00D9505E" w:rsidP="00D9505E"/>
    <w:p w14:paraId="3271F9AF" w14:textId="4A2BC42F" w:rsidR="00D9505E" w:rsidRDefault="00D9505E" w:rsidP="00D9505E"/>
    <w:p w14:paraId="5D126FB8" w14:textId="2754DEDB" w:rsidR="002D4729" w:rsidRDefault="002D4729" w:rsidP="00D9505E"/>
    <w:p w14:paraId="3C681751" w14:textId="77777777" w:rsidR="002D4729" w:rsidRDefault="002D4729"/>
    <w:sectPr w:rsidR="002D4729" w:rsidSect="00F44E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93DA5"/>
    <w:multiLevelType w:val="hybridMultilevel"/>
    <w:tmpl w:val="3606E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CA0C6A0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22F3C"/>
    <w:multiLevelType w:val="hybridMultilevel"/>
    <w:tmpl w:val="A6686E8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DA51227"/>
    <w:multiLevelType w:val="hybridMultilevel"/>
    <w:tmpl w:val="8D406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56DE4"/>
    <w:multiLevelType w:val="hybridMultilevel"/>
    <w:tmpl w:val="0DBE94AE"/>
    <w:lvl w:ilvl="0" w:tplc="BCA0C6A0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17594"/>
    <w:multiLevelType w:val="hybridMultilevel"/>
    <w:tmpl w:val="1FDCA99C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" w15:restartNumberingAfterBreak="0">
    <w:nsid w:val="5E4E316C"/>
    <w:multiLevelType w:val="hybridMultilevel"/>
    <w:tmpl w:val="5CF6D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CA0C6A0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6F212B"/>
    <w:multiLevelType w:val="hybridMultilevel"/>
    <w:tmpl w:val="64B62B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CA0C6A0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733"/>
    <w:rsid w:val="00000733"/>
    <w:rsid w:val="0008791B"/>
    <w:rsid w:val="00097156"/>
    <w:rsid w:val="000D1424"/>
    <w:rsid w:val="000E2D71"/>
    <w:rsid w:val="001625E1"/>
    <w:rsid w:val="001F16D1"/>
    <w:rsid w:val="002014B9"/>
    <w:rsid w:val="0023498A"/>
    <w:rsid w:val="002D4729"/>
    <w:rsid w:val="003657D7"/>
    <w:rsid w:val="00386121"/>
    <w:rsid w:val="003D5884"/>
    <w:rsid w:val="00455DA5"/>
    <w:rsid w:val="004C5004"/>
    <w:rsid w:val="004F0030"/>
    <w:rsid w:val="0058117B"/>
    <w:rsid w:val="00584994"/>
    <w:rsid w:val="005C6AA3"/>
    <w:rsid w:val="005D2371"/>
    <w:rsid w:val="005D4831"/>
    <w:rsid w:val="00626F36"/>
    <w:rsid w:val="00627ED7"/>
    <w:rsid w:val="006329F2"/>
    <w:rsid w:val="006B20B0"/>
    <w:rsid w:val="007B3273"/>
    <w:rsid w:val="007D1151"/>
    <w:rsid w:val="008B00F2"/>
    <w:rsid w:val="008D6C29"/>
    <w:rsid w:val="008F5453"/>
    <w:rsid w:val="00921AC6"/>
    <w:rsid w:val="00957E0D"/>
    <w:rsid w:val="009B4269"/>
    <w:rsid w:val="009C0E2D"/>
    <w:rsid w:val="009E0A32"/>
    <w:rsid w:val="009E5993"/>
    <w:rsid w:val="009F3B55"/>
    <w:rsid w:val="00A42DD6"/>
    <w:rsid w:val="00A63F93"/>
    <w:rsid w:val="00AB64A0"/>
    <w:rsid w:val="00B541C8"/>
    <w:rsid w:val="00B92B9D"/>
    <w:rsid w:val="00BA037B"/>
    <w:rsid w:val="00C300FF"/>
    <w:rsid w:val="00C34C3D"/>
    <w:rsid w:val="00C440DD"/>
    <w:rsid w:val="00C60DAE"/>
    <w:rsid w:val="00CA686C"/>
    <w:rsid w:val="00CE4A39"/>
    <w:rsid w:val="00CE74C2"/>
    <w:rsid w:val="00D20E3C"/>
    <w:rsid w:val="00D9505E"/>
    <w:rsid w:val="00E6075D"/>
    <w:rsid w:val="00E6475B"/>
    <w:rsid w:val="00F01D53"/>
    <w:rsid w:val="00F206C4"/>
    <w:rsid w:val="00F44EB6"/>
    <w:rsid w:val="00F95E20"/>
    <w:rsid w:val="00FC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9745A"/>
  <w15:chartTrackingRefBased/>
  <w15:docId w15:val="{B9AE4ECC-272F-0644-A880-1EB952BA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7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07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7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07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7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0733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D4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4994"/>
  </w:style>
  <w:style w:type="character" w:styleId="Hyperlink">
    <w:name w:val="Hyperlink"/>
    <w:basedOn w:val="DefaultParagraphFont"/>
    <w:uiPriority w:val="99"/>
    <w:unhideWhenUsed/>
    <w:rsid w:val="009E59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599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5D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martdollar.com/ap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dn.ramseysolutions.net/media/b2b/wellness/smart_dollar/resources/resource-center/campaigns/Suites/taxes/tax-prep-checklist.pdf.zip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irs.gov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 xsi:nil="true"/>
  </documentManagement>
</p:properties>
</file>

<file path=customXml/itemProps1.xml><?xml version="1.0" encoding="utf-8"?>
<ds:datastoreItem xmlns:ds="http://schemas.openxmlformats.org/officeDocument/2006/customXml" ds:itemID="{E73B8A9F-AD31-4BC9-B77C-D98D7C048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85DC37-1E96-4576-ADDE-3343FDC103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67B2B-977D-457B-BFF7-D8D03AF854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 Mulder</dc:creator>
  <cp:keywords/>
  <dc:description/>
  <cp:lastModifiedBy>Jes Mulder</cp:lastModifiedBy>
  <cp:revision>19</cp:revision>
  <dcterms:created xsi:type="dcterms:W3CDTF">2021-02-03T16:48:00Z</dcterms:created>
  <dcterms:modified xsi:type="dcterms:W3CDTF">2022-01-14T17:20:00Z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